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55" w:rsidRDefault="00364355" w:rsidP="00364355">
      <w:pPr>
        <w:spacing w:line="360" w:lineRule="auto"/>
        <w:ind w:left="568"/>
        <w:jc w:val="center"/>
        <w:rPr>
          <w:rFonts w:ascii="Arial Narrow" w:hAnsi="Arial Narrow"/>
          <w:b/>
          <w:caps/>
          <w:sz w:val="32"/>
          <w:szCs w:val="32"/>
          <w:u w:val="single"/>
        </w:rPr>
      </w:pPr>
      <w:r>
        <w:rPr>
          <w:rFonts w:ascii="Arial Narrow" w:hAnsi="Arial Narrow"/>
          <w:b/>
          <w:caps/>
          <w:sz w:val="32"/>
          <w:szCs w:val="32"/>
          <w:u w:val="single"/>
        </w:rPr>
        <w:t>RENDELET TERVEZET</w:t>
      </w:r>
    </w:p>
    <w:p w:rsidR="00364355" w:rsidRDefault="00364355" w:rsidP="00364355">
      <w:pPr>
        <w:pStyle w:val="Cm"/>
        <w:outlineLvl w:val="0"/>
        <w:rPr>
          <w:b w:val="0"/>
          <w:sz w:val="24"/>
        </w:rPr>
      </w:pPr>
      <w:r>
        <w:rPr>
          <w:b w:val="0"/>
          <w:sz w:val="24"/>
        </w:rPr>
        <w:t>Nagyvázsony Község Önkormányzata Képviselő-testületének</w:t>
      </w:r>
    </w:p>
    <w:p w:rsidR="00364355" w:rsidRDefault="00364355" w:rsidP="00364355">
      <w:pPr>
        <w:pStyle w:val="Cm"/>
        <w:outlineLvl w:val="0"/>
        <w:rPr>
          <w:b w:val="0"/>
          <w:sz w:val="24"/>
        </w:rPr>
      </w:pPr>
      <w:r>
        <w:rPr>
          <w:b w:val="0"/>
          <w:sz w:val="24"/>
        </w:rPr>
        <w:t>…./2017.(………..) önkormányzati rendelete</w:t>
      </w:r>
    </w:p>
    <w:p w:rsidR="00364355" w:rsidRDefault="00364355" w:rsidP="00364355">
      <w:pPr>
        <w:pStyle w:val="Cm"/>
        <w:outlineLvl w:val="0"/>
        <w:rPr>
          <w:b w:val="0"/>
          <w:sz w:val="24"/>
        </w:rPr>
      </w:pPr>
      <w:r>
        <w:rPr>
          <w:b w:val="0"/>
          <w:sz w:val="24"/>
        </w:rPr>
        <w:t>Nagyvázsony Község Helyi Építési Szabályzatáról és Szabályozási Tervéről szóló</w:t>
      </w:r>
    </w:p>
    <w:p w:rsidR="00364355" w:rsidRDefault="00364355" w:rsidP="00364355">
      <w:pPr>
        <w:jc w:val="center"/>
      </w:pPr>
      <w:r>
        <w:rPr>
          <w:rFonts w:ascii="Arial Narrow" w:hAnsi="Arial Narrow" w:cs="Arial"/>
          <w:b/>
        </w:rPr>
        <w:t>12</w:t>
      </w:r>
      <w:r>
        <w:rPr>
          <w:rFonts w:ascii="Arial Narrow" w:hAnsi="Arial Narrow"/>
          <w:b/>
          <w:bCs/>
        </w:rPr>
        <w:t xml:space="preserve">/2003.(XII.19.) </w:t>
      </w:r>
      <w:r>
        <w:t>önkormányzati rendelet módosításáról</w:t>
      </w:r>
      <w:r>
        <w:rPr>
          <w:rStyle w:val="Lbjegyzet-hivatkozs"/>
        </w:rPr>
        <w:footnoteReference w:id="1"/>
      </w:r>
    </w:p>
    <w:p w:rsidR="00364355" w:rsidRDefault="00364355" w:rsidP="00364355">
      <w:pPr>
        <w:pStyle w:val="Cm"/>
        <w:outlineLvl w:val="0"/>
        <w:rPr>
          <w:b w:val="0"/>
          <w:sz w:val="24"/>
        </w:rPr>
      </w:pPr>
    </w:p>
    <w:p w:rsidR="00364355" w:rsidRDefault="00364355" w:rsidP="00364355">
      <w:pPr>
        <w:pStyle w:val="Cm"/>
        <w:outlineLvl w:val="0"/>
        <w:rPr>
          <w:b w:val="0"/>
          <w:sz w:val="24"/>
        </w:rPr>
      </w:pPr>
    </w:p>
    <w:p w:rsidR="00364355" w:rsidRDefault="00364355" w:rsidP="00364355">
      <w:pPr>
        <w:pStyle w:val="Cmsor2"/>
        <w:jc w:val="both"/>
        <w:rPr>
          <w:b w:val="0"/>
          <w:i w:val="0"/>
          <w:sz w:val="24"/>
        </w:rPr>
      </w:pPr>
      <w:r>
        <w:rPr>
          <w:b w:val="0"/>
          <w:i w:val="0"/>
          <w:sz w:val="24"/>
        </w:rPr>
        <w:t>Nagyvázsony Község Önkormányzata képviselő-testülete az épített környezet alakításáról és védelméről szóló 1997. évi LXXVIII. törvény (a továbbiakban Étv.) 6/A § (3) bekezdésében és 62. § (6) bekezdés 6. pontjában</w:t>
      </w:r>
      <w:r>
        <w:rPr>
          <w:b w:val="0"/>
          <w:sz w:val="24"/>
        </w:rPr>
        <w:t xml:space="preserve"> </w:t>
      </w:r>
      <w:r>
        <w:rPr>
          <w:b w:val="0"/>
          <w:i w:val="0"/>
          <w:sz w:val="24"/>
        </w:rPr>
        <w:t xml:space="preserve">kapott felhatalmazás alapján, a Magyarország helyi önkormányzatairól szóló 2011. évi CLXXXIX. törvény 13.§ (1) bekezdés 1. pontjában és az Étv. 6.§ (1) bekezdésében meghatározott feladatkörében eljárva a következőket rendeli el: </w:t>
      </w:r>
    </w:p>
    <w:p w:rsidR="00364355" w:rsidRDefault="00364355" w:rsidP="00364355"/>
    <w:p w:rsidR="00364355" w:rsidRDefault="00364355" w:rsidP="00364355">
      <w:pPr>
        <w:tabs>
          <w:tab w:val="left" w:pos="9180"/>
        </w:tabs>
        <w:ind w:right="-108"/>
        <w:jc w:val="both"/>
        <w:rPr>
          <w:color w:val="FF0000"/>
        </w:rPr>
      </w:pPr>
      <w:r>
        <w:t xml:space="preserve">a Veszprém megyei Kormányhivatal Kormánymegbízotti Kabinet, Állami Főépítész, a Veszprém Megyei Kormányhivatal Veszprémi Járási Hivatal Környezetvédelmi és Természetvédelmi Főosztály Természetvédelmi Osztálya, a Fejér Megyei Katasztrófavédelmi Igazgatóság Területi Vízügyi Hatósága, a Balaton-felvidéki Nemzeti Park Igazgatósága, Veszprém Megyei Katasztrófavédelmi Igazgatósága, a Közép-dunántúli Vízügyi Igazgatóság, a Veszprém megyei Kormányhivatal Népegészségügyi Főosztály Közegészségügyi és Járványügyi Osztálya, Nemzeti Fejlesztési Minisztérium, Közlekedési Hatóság Légügyi Hivatal, Budapest Főváros Kormányhivatala Közlekedési Főosztály, Veszprém Megyei Kormányhivatal Járási Hivatal Műszaki Engedélyezési Fogyasztóvédelmi és Foglalkoztatási Főosztály Útügyi Osztálya, Miniszterelnökség, Kulturális Örökségvédelemért és Kiemelt Beruházásokért Felelős Államtitkárság, Kulturális Örökségvédelmi Főosztály Nyilvántartási Hatósági Osztály, a Veszprém Megyei Kormányhivatal Veszprémi Járási Hivatal Hatósági Főosztály Építésügyi és Örökségvédelmi Osztály, a Veszprém Megyei Kormányhivatal Élelmiszter-biztonsági és Földhivatali Főosztály Földhivatali Osztály, a Veszprém Megyei Kormányhivatal Veszprémi Járási Hivatal Agrárügyi Főosztály Erdészeti Osztály a Honvédelmi Minisztérium Hatósági Főosztálya, Veszprém megyei Rendőr főkapitányság, Veszprém Megyei Kormányhivatal Hatósági Főosztály Bányászati Osztálya a Nemzeti Média és Hírközlési Hatóság, Budapest Főváros Kormányhivatala, Kormánymegbízott, a Veszprém Megyei Önkormányzat valamint </w:t>
      </w:r>
    </w:p>
    <w:p w:rsidR="00364355" w:rsidRDefault="00364355" w:rsidP="00364355">
      <w:pPr>
        <w:tabs>
          <w:tab w:val="left" w:pos="9180"/>
        </w:tabs>
        <w:ind w:right="-108"/>
        <w:jc w:val="both"/>
        <w:rPr>
          <w:bCs/>
        </w:rPr>
      </w:pPr>
      <w:r>
        <w:t xml:space="preserve">továbbá Nagyvázsony Község Önkormányzata 9/2017.(III.31.) számú a partnerségi egyeztetés szabályairól szóló önkormányzati rendelete alapján az eljárás során kifüggesztéssel értesített partnerek, továbbá a szomszédos települések </w:t>
      </w:r>
      <w:r>
        <w:rPr>
          <w:b/>
          <w:bCs/>
        </w:rPr>
        <w:t>véleményének kikérésével</w:t>
      </w:r>
      <w:r>
        <w:rPr>
          <w:bCs/>
        </w:rPr>
        <w:t xml:space="preserve"> a következőket rendeli el:</w:t>
      </w:r>
    </w:p>
    <w:p w:rsidR="00364355" w:rsidRDefault="00364355" w:rsidP="00364355">
      <w:pPr>
        <w:tabs>
          <w:tab w:val="left" w:pos="9180"/>
        </w:tabs>
        <w:ind w:right="-108"/>
        <w:jc w:val="both"/>
        <w:rPr>
          <w:rFonts w:ascii="Arial Narrow" w:hAnsi="Arial Narrow"/>
          <w:bCs/>
          <w:color w:val="FF0000"/>
        </w:rPr>
      </w:pPr>
    </w:p>
    <w:p w:rsidR="00364355" w:rsidRDefault="00364355" w:rsidP="00364355">
      <w:pPr>
        <w:tabs>
          <w:tab w:val="left" w:pos="9180"/>
        </w:tabs>
        <w:ind w:left="426" w:right="-108" w:hanging="426"/>
        <w:jc w:val="both"/>
      </w:pPr>
      <w:r>
        <w:rPr>
          <w:rFonts w:ascii="Arial Narrow" w:hAnsi="Arial Narrow"/>
        </w:rPr>
        <w:t>1.§  (1)  Nagyvázsony község Önkormányzat Képviselő-testületének a Nagyvázsony község helyi építési szabályzatáról 12/2004. (V.25.) önkormányzati rendelete (A továbbiakban: R) 5</w:t>
      </w:r>
      <w:r>
        <w:t xml:space="preserve">. § (3) bekezdés zöldterület felsorolása egy új sorral egészül ki: </w:t>
      </w:r>
    </w:p>
    <w:p w:rsidR="00364355" w:rsidRDefault="00364355" w:rsidP="00364355">
      <w:pPr>
        <w:tabs>
          <w:tab w:val="left" w:pos="9180"/>
        </w:tabs>
        <w:ind w:right="-108" w:firstLine="851"/>
        <w:jc w:val="both"/>
        <w:rPr>
          <w:i/>
        </w:rPr>
      </w:pPr>
      <w:r>
        <w:rPr>
          <w:i/>
        </w:rPr>
        <w:t xml:space="preserve">- kegyeleti park   </w:t>
      </w:r>
      <w:r>
        <w:rPr>
          <w:b/>
          <w:i/>
        </w:rPr>
        <w:t>Z-kp</w:t>
      </w:r>
    </w:p>
    <w:p w:rsidR="00364355" w:rsidRDefault="00364355" w:rsidP="00364355">
      <w:pPr>
        <w:tabs>
          <w:tab w:val="left" w:pos="9180"/>
        </w:tabs>
        <w:ind w:right="-108"/>
        <w:jc w:val="both"/>
        <w:rPr>
          <w:rFonts w:ascii="Arial Narrow" w:hAnsi="Arial Narrow"/>
          <w:bCs/>
        </w:rPr>
      </w:pPr>
    </w:p>
    <w:p w:rsidR="00364355" w:rsidRDefault="00364355" w:rsidP="00364355">
      <w:pPr>
        <w:ind w:firstLine="360"/>
        <w:rPr>
          <w:rFonts w:ascii="Times" w:hAnsi="Times" w:cs="Times"/>
          <w:b/>
          <w:i/>
        </w:rPr>
      </w:pPr>
      <w:r>
        <w:t xml:space="preserve"> (2) A R.  5.§ (3) bekezdés mezőgazdasági területek felsorolása egy új sorral egészül ki: </w:t>
      </w:r>
    </w:p>
    <w:p w:rsidR="00364355" w:rsidRDefault="00364355" w:rsidP="00364355">
      <w:pPr>
        <w:ind w:firstLine="851"/>
        <w:rPr>
          <w:rStyle w:val="Kiemels"/>
          <w:bCs/>
        </w:rPr>
      </w:pPr>
      <w:r>
        <w:rPr>
          <w:rStyle w:val="Kiemels"/>
          <w:rFonts w:ascii="Times" w:hAnsi="Times" w:cs="Times"/>
          <w:bCs/>
        </w:rPr>
        <w:t xml:space="preserve">- ökológiai gazdálkodás és bemutatás övezete    </w:t>
      </w:r>
      <w:r>
        <w:rPr>
          <w:rStyle w:val="Kiemels"/>
          <w:rFonts w:ascii="Times" w:hAnsi="Times" w:cs="Times"/>
          <w:b/>
          <w:bCs/>
        </w:rPr>
        <w:t>Má-4</w:t>
      </w:r>
    </w:p>
    <w:p w:rsidR="00364355" w:rsidRDefault="00364355" w:rsidP="00364355">
      <w:pPr>
        <w:ind w:firstLine="851"/>
        <w:rPr>
          <w:rStyle w:val="Kiemels"/>
          <w:rFonts w:ascii="Times" w:hAnsi="Times" w:cs="Times"/>
          <w:bCs/>
          <w:i w:val="0"/>
        </w:rPr>
      </w:pPr>
    </w:p>
    <w:p w:rsidR="00364355" w:rsidRDefault="00364355" w:rsidP="00364355">
      <w:pPr>
        <w:ind w:firstLine="360"/>
        <w:rPr>
          <w:i/>
        </w:rPr>
      </w:pPr>
      <w:r>
        <w:rPr>
          <w:i/>
        </w:rPr>
        <w:t xml:space="preserve"> (3) A R.  21.§ (6) bekezdése helyébe a következő rendelkezés lép:</w:t>
      </w:r>
    </w:p>
    <w:p w:rsidR="00364355" w:rsidRDefault="00364355" w:rsidP="00364355">
      <w:pPr>
        <w:widowControl w:val="0"/>
        <w:tabs>
          <w:tab w:val="left" w:pos="927"/>
        </w:tabs>
        <w:autoSpaceDE w:val="0"/>
        <w:autoSpaceDN w:val="0"/>
        <w:spacing w:before="120"/>
        <w:ind w:firstLine="851"/>
        <w:jc w:val="both"/>
        <w:rPr>
          <w:i/>
          <w:szCs w:val="20"/>
        </w:rPr>
      </w:pPr>
      <w:r>
        <w:rPr>
          <w:i/>
          <w:szCs w:val="20"/>
        </w:rPr>
        <w:t>(6) A Z-2 és Z-kp övezetben:</w:t>
      </w:r>
    </w:p>
    <w:p w:rsidR="00364355" w:rsidRDefault="00364355" w:rsidP="00364355">
      <w:pPr>
        <w:tabs>
          <w:tab w:val="left" w:pos="927"/>
        </w:tabs>
        <w:ind w:left="993"/>
        <w:jc w:val="both"/>
        <w:rPr>
          <w:i/>
        </w:rPr>
      </w:pPr>
      <w:r>
        <w:rPr>
          <w:i/>
        </w:rPr>
        <w:lastRenderedPageBreak/>
        <w:t>a)</w:t>
      </w:r>
      <w:r>
        <w:rPr>
          <w:i/>
        </w:rPr>
        <w:tab/>
        <w:t>-pihenést szolgáló építmények (sétaút, pihenőhely, gyermekjátszótér, kisebb sportpályák stb.),</w:t>
      </w:r>
    </w:p>
    <w:p w:rsidR="00364355" w:rsidRDefault="00364355" w:rsidP="00364355">
      <w:pPr>
        <w:tabs>
          <w:tab w:val="left" w:pos="927"/>
        </w:tabs>
        <w:ind w:left="993"/>
        <w:jc w:val="both"/>
        <w:rPr>
          <w:i/>
        </w:rPr>
      </w:pPr>
      <w:r>
        <w:rPr>
          <w:i/>
        </w:rPr>
        <w:t>b)</w:t>
      </w:r>
      <w:r>
        <w:rPr>
          <w:i/>
        </w:rPr>
        <w:tab/>
        <w:t>-köztárgyak, műtárgyak (szobor, emlékmű, díszkút, szökőkút stb.)</w:t>
      </w:r>
    </w:p>
    <w:p w:rsidR="00364355" w:rsidRDefault="00364355" w:rsidP="00364355">
      <w:pPr>
        <w:ind w:left="993"/>
        <w:jc w:val="both"/>
        <w:rPr>
          <w:i/>
        </w:rPr>
      </w:pPr>
      <w:r>
        <w:rPr>
          <w:i/>
        </w:rPr>
        <w:t>helyezhetők el. A Z-2 és Z-kp övezetben épületek nem helyezhetők el.</w:t>
      </w:r>
    </w:p>
    <w:p w:rsidR="00364355" w:rsidRDefault="00364355" w:rsidP="00364355">
      <w:pPr>
        <w:ind w:left="993"/>
        <w:rPr>
          <w:rFonts w:ascii="Times" w:hAnsi="Times" w:cs="Times"/>
          <w:b/>
          <w:i/>
        </w:rPr>
      </w:pPr>
    </w:p>
    <w:p w:rsidR="00364355" w:rsidRDefault="00364355" w:rsidP="00364355">
      <w:pPr>
        <w:ind w:left="993" w:hanging="709"/>
      </w:pPr>
      <w:r>
        <w:t xml:space="preserve"> (4) A R.  21.§ (7) bekezdése helyébe a következő rendelkezés lép:</w:t>
      </w:r>
    </w:p>
    <w:p w:rsidR="00364355" w:rsidRDefault="00364355" w:rsidP="00364355">
      <w:pPr>
        <w:ind w:left="993"/>
        <w:rPr>
          <w:rFonts w:ascii="Times" w:hAnsi="Times" w:cs="Times"/>
          <w:b/>
          <w:i/>
        </w:rPr>
      </w:pPr>
      <w:r>
        <w:rPr>
          <w:rFonts w:ascii="Times" w:hAnsi="Times" w:cs="Times"/>
          <w:b/>
          <w:i/>
        </w:rPr>
        <w:t xml:space="preserve">(7)    A </w:t>
      </w:r>
      <w:r>
        <w:rPr>
          <w:i/>
        </w:rPr>
        <w:t>Z-1, Z-2 és a Z-kp övezetben a zöldfelülettel borított terület legalább 1/3-át háromszintű növényzet (gyep-, cserje- és lombkoronaszint együttesen) alkalmazásával kell kialakítani. Egyszintű növényzet (gyepszint) a zöldfelülettel fedett terület legfeljebb felét boríthatja</w:t>
      </w:r>
      <w:r>
        <w:rPr>
          <w:rFonts w:ascii="Times" w:hAnsi="Times" w:cs="Times"/>
          <w:b/>
          <w:i/>
        </w:rPr>
        <w:t>.</w:t>
      </w:r>
    </w:p>
    <w:p w:rsidR="00364355" w:rsidRDefault="00364355" w:rsidP="00364355">
      <w:pPr>
        <w:tabs>
          <w:tab w:val="left" w:pos="9180"/>
        </w:tabs>
        <w:ind w:right="-108"/>
        <w:jc w:val="both"/>
        <w:rPr>
          <w:rFonts w:ascii="Arial Narrow" w:hAnsi="Arial Narrow"/>
          <w:bCs/>
        </w:rPr>
      </w:pPr>
    </w:p>
    <w:p w:rsidR="00364355" w:rsidRDefault="00364355" w:rsidP="00364355">
      <w:pPr>
        <w:ind w:firstLine="360"/>
      </w:pPr>
      <w:r>
        <w:t>(5) A R.  21.§ (8) bekezdés táblázata az alábbi új sorral egészül ki:</w:t>
      </w:r>
    </w:p>
    <w:tbl>
      <w:tblPr>
        <w:tblW w:w="9495" w:type="dxa"/>
        <w:tblInd w:w="71" w:type="dxa"/>
        <w:tblLayout w:type="fixed"/>
        <w:tblCellMar>
          <w:left w:w="71" w:type="dxa"/>
          <w:right w:w="71" w:type="dxa"/>
        </w:tblCellMar>
        <w:tblLook w:val="04A0" w:firstRow="1" w:lastRow="0" w:firstColumn="1" w:lastColumn="0" w:noHBand="0" w:noVBand="1"/>
      </w:tblPr>
      <w:tblGrid>
        <w:gridCol w:w="851"/>
        <w:gridCol w:w="2692"/>
        <w:gridCol w:w="2267"/>
        <w:gridCol w:w="1559"/>
        <w:gridCol w:w="2126"/>
      </w:tblGrid>
      <w:tr w:rsidR="00364355" w:rsidTr="00364355">
        <w:trPr>
          <w:cantSplit/>
        </w:trPr>
        <w:tc>
          <w:tcPr>
            <w:tcW w:w="851" w:type="dxa"/>
            <w:tcBorders>
              <w:top w:val="double" w:sz="6" w:space="0" w:color="auto"/>
              <w:left w:val="double" w:sz="6" w:space="0" w:color="auto"/>
              <w:bottom w:val="nil"/>
              <w:right w:val="double" w:sz="6" w:space="0" w:color="auto"/>
            </w:tcBorders>
            <w:hideMark/>
          </w:tcPr>
          <w:p w:rsidR="00364355" w:rsidRDefault="00364355">
            <w:pPr>
              <w:spacing w:after="120"/>
              <w:jc w:val="center"/>
              <w:rPr>
                <w:b/>
                <w:sz w:val="22"/>
              </w:rPr>
            </w:pPr>
            <w:r>
              <w:rPr>
                <w:b/>
                <w:sz w:val="22"/>
              </w:rPr>
              <w:t>Övezeti jel</w:t>
            </w:r>
          </w:p>
        </w:tc>
        <w:tc>
          <w:tcPr>
            <w:tcW w:w="2693" w:type="dxa"/>
            <w:tcBorders>
              <w:top w:val="double" w:sz="6" w:space="0" w:color="auto"/>
              <w:left w:val="single" w:sz="6" w:space="0" w:color="auto"/>
              <w:bottom w:val="nil"/>
              <w:right w:val="single" w:sz="6" w:space="0" w:color="auto"/>
            </w:tcBorders>
            <w:hideMark/>
          </w:tcPr>
          <w:p w:rsidR="00364355" w:rsidRDefault="00364355">
            <w:pPr>
              <w:jc w:val="center"/>
              <w:rPr>
                <w:b/>
                <w:sz w:val="20"/>
              </w:rPr>
            </w:pPr>
            <w:r>
              <w:rPr>
                <w:b/>
                <w:sz w:val="20"/>
              </w:rPr>
              <w:t>Kialakítható/</w:t>
            </w:r>
          </w:p>
          <w:p w:rsidR="00364355" w:rsidRDefault="00364355">
            <w:pPr>
              <w:jc w:val="center"/>
              <w:rPr>
                <w:b/>
                <w:sz w:val="20"/>
              </w:rPr>
            </w:pPr>
            <w:r>
              <w:rPr>
                <w:b/>
                <w:sz w:val="20"/>
              </w:rPr>
              <w:t xml:space="preserve">beépíthető </w:t>
            </w:r>
          </w:p>
          <w:p w:rsidR="00364355" w:rsidRDefault="00364355">
            <w:pPr>
              <w:jc w:val="center"/>
              <w:rPr>
                <w:b/>
                <w:sz w:val="22"/>
              </w:rPr>
            </w:pPr>
            <w:r>
              <w:rPr>
                <w:b/>
                <w:sz w:val="20"/>
              </w:rPr>
              <w:t xml:space="preserve">Telek </w:t>
            </w:r>
            <w:r>
              <w:rPr>
                <w:b/>
                <w:sz w:val="22"/>
              </w:rPr>
              <w:t>min. nagysága (m</w:t>
            </w:r>
            <w:r>
              <w:rPr>
                <w:b/>
                <w:sz w:val="22"/>
                <w:vertAlign w:val="superscript"/>
              </w:rPr>
              <w:t>2</w:t>
            </w:r>
            <w:r>
              <w:rPr>
                <w:b/>
                <w:sz w:val="22"/>
              </w:rPr>
              <w:t>)</w:t>
            </w:r>
          </w:p>
        </w:tc>
        <w:tc>
          <w:tcPr>
            <w:tcW w:w="2268" w:type="dxa"/>
            <w:tcBorders>
              <w:top w:val="double" w:sz="6" w:space="0" w:color="auto"/>
              <w:left w:val="single" w:sz="6" w:space="0" w:color="auto"/>
              <w:bottom w:val="nil"/>
              <w:right w:val="single" w:sz="6" w:space="0" w:color="auto"/>
            </w:tcBorders>
            <w:hideMark/>
          </w:tcPr>
          <w:p w:rsidR="00364355" w:rsidRDefault="00364355">
            <w:pPr>
              <w:jc w:val="center"/>
              <w:rPr>
                <w:b/>
                <w:sz w:val="20"/>
              </w:rPr>
            </w:pPr>
            <w:r>
              <w:rPr>
                <w:b/>
                <w:sz w:val="20"/>
              </w:rPr>
              <w:t xml:space="preserve">Kialakítható/beépíthető </w:t>
            </w:r>
          </w:p>
          <w:p w:rsidR="00364355" w:rsidRDefault="00364355">
            <w:pPr>
              <w:jc w:val="center"/>
              <w:rPr>
                <w:b/>
                <w:sz w:val="22"/>
              </w:rPr>
            </w:pPr>
            <w:r>
              <w:rPr>
                <w:b/>
                <w:sz w:val="20"/>
              </w:rPr>
              <w:t xml:space="preserve">telek </w:t>
            </w:r>
            <w:r>
              <w:rPr>
                <w:b/>
                <w:sz w:val="22"/>
              </w:rPr>
              <w:t>legkisebb telek szélessége (m)</w:t>
            </w:r>
          </w:p>
        </w:tc>
        <w:tc>
          <w:tcPr>
            <w:tcW w:w="1559" w:type="dxa"/>
            <w:tcBorders>
              <w:top w:val="double" w:sz="6" w:space="0" w:color="auto"/>
              <w:left w:val="single" w:sz="6" w:space="0" w:color="auto"/>
              <w:bottom w:val="nil"/>
              <w:right w:val="single" w:sz="6" w:space="0" w:color="auto"/>
            </w:tcBorders>
            <w:hideMark/>
          </w:tcPr>
          <w:p w:rsidR="00364355" w:rsidRDefault="00364355">
            <w:pPr>
              <w:spacing w:after="120"/>
              <w:ind w:left="-152" w:firstLine="242"/>
              <w:jc w:val="center"/>
              <w:rPr>
                <w:b/>
                <w:sz w:val="22"/>
              </w:rPr>
            </w:pPr>
            <w:r>
              <w:rPr>
                <w:b/>
                <w:sz w:val="22"/>
              </w:rPr>
              <w:t>Beépítettség mértéke  (%)</w:t>
            </w:r>
          </w:p>
        </w:tc>
        <w:tc>
          <w:tcPr>
            <w:tcW w:w="2127" w:type="dxa"/>
            <w:tcBorders>
              <w:top w:val="double" w:sz="6" w:space="0" w:color="auto"/>
              <w:left w:val="single" w:sz="6" w:space="0" w:color="auto"/>
              <w:bottom w:val="nil"/>
              <w:right w:val="double" w:sz="6" w:space="0" w:color="auto"/>
            </w:tcBorders>
            <w:hideMark/>
          </w:tcPr>
          <w:p w:rsidR="00364355" w:rsidRDefault="00364355">
            <w:pPr>
              <w:spacing w:after="120"/>
              <w:jc w:val="center"/>
              <w:rPr>
                <w:b/>
                <w:sz w:val="22"/>
              </w:rPr>
            </w:pPr>
            <w:r>
              <w:rPr>
                <w:b/>
                <w:sz w:val="22"/>
              </w:rPr>
              <w:t>Építmény-magasság (m)</w:t>
            </w:r>
          </w:p>
        </w:tc>
      </w:tr>
      <w:tr w:rsidR="00364355" w:rsidTr="00364355">
        <w:trPr>
          <w:cantSplit/>
        </w:trPr>
        <w:tc>
          <w:tcPr>
            <w:tcW w:w="851" w:type="dxa"/>
            <w:tcBorders>
              <w:top w:val="single" w:sz="6" w:space="0" w:color="auto"/>
              <w:left w:val="double" w:sz="6" w:space="0" w:color="auto"/>
              <w:bottom w:val="single" w:sz="6" w:space="0" w:color="auto"/>
              <w:right w:val="double" w:sz="6" w:space="0" w:color="auto"/>
            </w:tcBorders>
            <w:hideMark/>
          </w:tcPr>
          <w:p w:rsidR="00364355" w:rsidRDefault="00364355">
            <w:pPr>
              <w:spacing w:after="120"/>
              <w:jc w:val="center"/>
              <w:rPr>
                <w:b/>
                <w:i/>
                <w:sz w:val="22"/>
              </w:rPr>
            </w:pPr>
            <w:r>
              <w:rPr>
                <w:b/>
                <w:i/>
                <w:sz w:val="22"/>
              </w:rPr>
              <w:t>Z-kp</w:t>
            </w:r>
          </w:p>
        </w:tc>
        <w:tc>
          <w:tcPr>
            <w:tcW w:w="2693" w:type="dxa"/>
            <w:tcBorders>
              <w:top w:val="single" w:sz="6" w:space="0" w:color="auto"/>
              <w:left w:val="single" w:sz="6" w:space="0" w:color="auto"/>
              <w:bottom w:val="single" w:sz="6" w:space="0" w:color="auto"/>
              <w:right w:val="single" w:sz="6" w:space="0" w:color="auto"/>
            </w:tcBorders>
            <w:hideMark/>
          </w:tcPr>
          <w:p w:rsidR="00364355" w:rsidRDefault="00364355">
            <w:pPr>
              <w:spacing w:after="120"/>
              <w:jc w:val="center"/>
              <w:rPr>
                <w:i/>
                <w:sz w:val="22"/>
              </w:rPr>
            </w:pPr>
            <w:r>
              <w:rPr>
                <w:i/>
                <w:sz w:val="22"/>
              </w:rPr>
              <w:t>K</w:t>
            </w:r>
          </w:p>
        </w:tc>
        <w:tc>
          <w:tcPr>
            <w:tcW w:w="2268" w:type="dxa"/>
            <w:tcBorders>
              <w:top w:val="single" w:sz="6" w:space="0" w:color="auto"/>
              <w:left w:val="single" w:sz="6" w:space="0" w:color="auto"/>
              <w:bottom w:val="single" w:sz="6" w:space="0" w:color="auto"/>
              <w:right w:val="single" w:sz="6" w:space="0" w:color="auto"/>
            </w:tcBorders>
            <w:hideMark/>
          </w:tcPr>
          <w:p w:rsidR="00364355" w:rsidRDefault="00364355">
            <w:pPr>
              <w:spacing w:after="120"/>
              <w:jc w:val="center"/>
              <w:rPr>
                <w:i/>
                <w:sz w:val="22"/>
              </w:rPr>
            </w:pPr>
            <w:r>
              <w:rPr>
                <w:i/>
                <w:sz w:val="22"/>
              </w:rPr>
              <w:t>K</w:t>
            </w:r>
          </w:p>
        </w:tc>
        <w:tc>
          <w:tcPr>
            <w:tcW w:w="1559" w:type="dxa"/>
            <w:tcBorders>
              <w:top w:val="single" w:sz="6" w:space="0" w:color="auto"/>
              <w:left w:val="single" w:sz="6" w:space="0" w:color="auto"/>
              <w:bottom w:val="single" w:sz="6" w:space="0" w:color="auto"/>
              <w:right w:val="single" w:sz="6" w:space="0" w:color="auto"/>
            </w:tcBorders>
            <w:hideMark/>
          </w:tcPr>
          <w:p w:rsidR="00364355" w:rsidRDefault="00364355">
            <w:pPr>
              <w:spacing w:after="120"/>
              <w:ind w:left="-152" w:firstLine="242"/>
              <w:jc w:val="center"/>
              <w:rPr>
                <w:i/>
                <w:sz w:val="22"/>
              </w:rPr>
            </w:pPr>
            <w:r>
              <w:rPr>
                <w:i/>
                <w:sz w:val="22"/>
              </w:rPr>
              <w:t>-</w:t>
            </w:r>
          </w:p>
        </w:tc>
        <w:tc>
          <w:tcPr>
            <w:tcW w:w="2127" w:type="dxa"/>
            <w:tcBorders>
              <w:top w:val="single" w:sz="6" w:space="0" w:color="auto"/>
              <w:left w:val="single" w:sz="6" w:space="0" w:color="auto"/>
              <w:bottom w:val="single" w:sz="6" w:space="0" w:color="auto"/>
              <w:right w:val="double" w:sz="6" w:space="0" w:color="auto"/>
            </w:tcBorders>
            <w:hideMark/>
          </w:tcPr>
          <w:p w:rsidR="00364355" w:rsidRDefault="00364355">
            <w:pPr>
              <w:spacing w:after="120"/>
              <w:jc w:val="center"/>
              <w:rPr>
                <w:i/>
                <w:sz w:val="22"/>
              </w:rPr>
            </w:pPr>
            <w:r>
              <w:rPr>
                <w:i/>
                <w:sz w:val="22"/>
              </w:rPr>
              <w:t>-</w:t>
            </w:r>
          </w:p>
        </w:tc>
      </w:tr>
    </w:tbl>
    <w:p w:rsidR="00364355" w:rsidRDefault="00364355" w:rsidP="00364355">
      <w:pPr>
        <w:ind w:firstLine="360"/>
      </w:pPr>
    </w:p>
    <w:p w:rsidR="00364355" w:rsidRDefault="00364355" w:rsidP="00364355">
      <w:pPr>
        <w:ind w:firstLine="360"/>
      </w:pPr>
      <w:r>
        <w:t xml:space="preserve"> (6) A R.  23.§ (3) bekezdés egy új d) ponttal egészül ki:</w:t>
      </w:r>
    </w:p>
    <w:p w:rsidR="00364355" w:rsidRDefault="00364355" w:rsidP="00364355">
      <w:pPr>
        <w:ind w:left="993"/>
        <w:jc w:val="both"/>
        <w:rPr>
          <w:i/>
        </w:rPr>
      </w:pPr>
      <w:r>
        <w:rPr>
          <w:i/>
        </w:rPr>
        <w:t>d) Má-4: ökológiai gazdálkodás és bemutatás övezete.</w:t>
      </w:r>
    </w:p>
    <w:p w:rsidR="00364355" w:rsidRDefault="00364355" w:rsidP="00364355">
      <w:pPr>
        <w:pStyle w:val="NormlWeb"/>
        <w:spacing w:before="0" w:beforeAutospacing="0" w:after="20" w:afterAutospacing="0"/>
        <w:ind w:left="360" w:firstLine="180"/>
        <w:jc w:val="both"/>
        <w:rPr>
          <w:rFonts w:ascii="Times" w:hAnsi="Times" w:cs="Times"/>
        </w:rPr>
      </w:pPr>
    </w:p>
    <w:p w:rsidR="00364355" w:rsidRDefault="00364355" w:rsidP="00364355">
      <w:pPr>
        <w:ind w:firstLine="360"/>
      </w:pPr>
      <w:r>
        <w:t xml:space="preserve"> (7) A R.  23.§ (4) bekezdés helyébe a következő rendelkezés lép</w:t>
      </w:r>
    </w:p>
    <w:p w:rsidR="00364355" w:rsidRDefault="00364355" w:rsidP="00364355">
      <w:pPr>
        <w:widowControl w:val="0"/>
        <w:autoSpaceDE w:val="0"/>
        <w:autoSpaceDN w:val="0"/>
        <w:spacing w:before="120"/>
        <w:ind w:firstLine="851"/>
        <w:jc w:val="both"/>
        <w:rPr>
          <w:i/>
          <w:szCs w:val="20"/>
        </w:rPr>
      </w:pPr>
      <w:r>
        <w:rPr>
          <w:i/>
          <w:szCs w:val="20"/>
        </w:rPr>
        <w:t xml:space="preserve">(4)Az egyes mezőgazdasági övezetek részletes előírásai az alábbiak: </w:t>
      </w:r>
    </w:p>
    <w:tbl>
      <w:tblPr>
        <w:tblW w:w="8640" w:type="dxa"/>
        <w:tblInd w:w="71" w:type="dxa"/>
        <w:tblLayout w:type="fixed"/>
        <w:tblCellMar>
          <w:left w:w="71" w:type="dxa"/>
          <w:right w:w="71" w:type="dxa"/>
        </w:tblCellMar>
        <w:tblLook w:val="04A0" w:firstRow="1" w:lastRow="0" w:firstColumn="1" w:lastColumn="0" w:noHBand="0" w:noVBand="1"/>
      </w:tblPr>
      <w:tblGrid>
        <w:gridCol w:w="850"/>
        <w:gridCol w:w="849"/>
        <w:gridCol w:w="2266"/>
        <w:gridCol w:w="1700"/>
        <w:gridCol w:w="1700"/>
        <w:gridCol w:w="1275"/>
      </w:tblGrid>
      <w:tr w:rsidR="00364355" w:rsidTr="00364355">
        <w:trPr>
          <w:cantSplit/>
        </w:trPr>
        <w:tc>
          <w:tcPr>
            <w:tcW w:w="851" w:type="dxa"/>
            <w:tcBorders>
              <w:top w:val="double" w:sz="6" w:space="0" w:color="auto"/>
              <w:left w:val="double" w:sz="6" w:space="0" w:color="auto"/>
              <w:bottom w:val="nil"/>
              <w:right w:val="double" w:sz="6" w:space="0" w:color="auto"/>
            </w:tcBorders>
            <w:hideMark/>
          </w:tcPr>
          <w:p w:rsidR="00364355" w:rsidRDefault="00364355">
            <w:pPr>
              <w:spacing w:after="120"/>
              <w:jc w:val="center"/>
              <w:rPr>
                <w:b/>
                <w:i/>
                <w:sz w:val="22"/>
              </w:rPr>
            </w:pPr>
            <w:r>
              <w:rPr>
                <w:b/>
                <w:i/>
                <w:sz w:val="22"/>
              </w:rPr>
              <w:t>Övezeti jel</w:t>
            </w:r>
          </w:p>
        </w:tc>
        <w:tc>
          <w:tcPr>
            <w:tcW w:w="850" w:type="dxa"/>
            <w:tcBorders>
              <w:top w:val="double" w:sz="6" w:space="0" w:color="auto"/>
              <w:left w:val="nil"/>
              <w:bottom w:val="nil"/>
              <w:right w:val="single" w:sz="6" w:space="0" w:color="auto"/>
            </w:tcBorders>
            <w:hideMark/>
          </w:tcPr>
          <w:p w:rsidR="00364355" w:rsidRDefault="00364355">
            <w:pPr>
              <w:spacing w:after="120"/>
              <w:jc w:val="center"/>
              <w:rPr>
                <w:b/>
                <w:i/>
                <w:sz w:val="22"/>
              </w:rPr>
            </w:pPr>
            <w:r>
              <w:rPr>
                <w:b/>
                <w:i/>
                <w:sz w:val="22"/>
              </w:rPr>
              <w:t>Épület</w:t>
            </w:r>
          </w:p>
          <w:p w:rsidR="00364355" w:rsidRDefault="00364355">
            <w:pPr>
              <w:spacing w:after="120"/>
              <w:jc w:val="center"/>
              <w:rPr>
                <w:b/>
                <w:i/>
                <w:sz w:val="22"/>
              </w:rPr>
            </w:pPr>
            <w:r>
              <w:rPr>
                <w:b/>
                <w:i/>
                <w:sz w:val="22"/>
              </w:rPr>
              <w:t>típus</w:t>
            </w:r>
          </w:p>
        </w:tc>
        <w:tc>
          <w:tcPr>
            <w:tcW w:w="2268" w:type="dxa"/>
            <w:tcBorders>
              <w:top w:val="double" w:sz="6" w:space="0" w:color="auto"/>
              <w:left w:val="single" w:sz="6" w:space="0" w:color="auto"/>
              <w:bottom w:val="nil"/>
              <w:right w:val="single" w:sz="6" w:space="0" w:color="auto"/>
            </w:tcBorders>
            <w:hideMark/>
          </w:tcPr>
          <w:p w:rsidR="00364355" w:rsidRDefault="00364355">
            <w:pPr>
              <w:jc w:val="center"/>
              <w:rPr>
                <w:b/>
                <w:i/>
                <w:sz w:val="22"/>
              </w:rPr>
            </w:pPr>
            <w:r>
              <w:rPr>
                <w:b/>
                <w:i/>
                <w:sz w:val="20"/>
              </w:rPr>
              <w:t xml:space="preserve">Beépíthető telek </w:t>
            </w:r>
            <w:r>
              <w:rPr>
                <w:b/>
                <w:i/>
                <w:sz w:val="22"/>
              </w:rPr>
              <w:t>min. nagysága (m</w:t>
            </w:r>
            <w:r>
              <w:rPr>
                <w:b/>
                <w:i/>
                <w:sz w:val="22"/>
                <w:vertAlign w:val="superscript"/>
              </w:rPr>
              <w:t>2</w:t>
            </w:r>
            <w:r>
              <w:rPr>
                <w:b/>
                <w:i/>
                <w:sz w:val="22"/>
              </w:rPr>
              <w:t>)</w:t>
            </w:r>
          </w:p>
        </w:tc>
        <w:tc>
          <w:tcPr>
            <w:tcW w:w="1701" w:type="dxa"/>
            <w:tcBorders>
              <w:top w:val="double" w:sz="6" w:space="0" w:color="auto"/>
              <w:left w:val="single" w:sz="6" w:space="0" w:color="auto"/>
              <w:bottom w:val="nil"/>
              <w:right w:val="single" w:sz="6" w:space="0" w:color="auto"/>
            </w:tcBorders>
            <w:hideMark/>
          </w:tcPr>
          <w:p w:rsidR="00364355" w:rsidRDefault="00364355">
            <w:pPr>
              <w:jc w:val="center"/>
              <w:rPr>
                <w:b/>
                <w:i/>
                <w:sz w:val="22"/>
              </w:rPr>
            </w:pPr>
            <w:r>
              <w:rPr>
                <w:b/>
                <w:i/>
                <w:sz w:val="20"/>
              </w:rPr>
              <w:t xml:space="preserve">Beépíthető telek </w:t>
            </w:r>
            <w:r>
              <w:rPr>
                <w:b/>
                <w:i/>
                <w:sz w:val="22"/>
              </w:rPr>
              <w:t>legkisebb telek szélessége (m)</w:t>
            </w:r>
          </w:p>
        </w:tc>
        <w:tc>
          <w:tcPr>
            <w:tcW w:w="1701" w:type="dxa"/>
            <w:tcBorders>
              <w:top w:val="double" w:sz="6" w:space="0" w:color="auto"/>
              <w:left w:val="single" w:sz="6" w:space="0" w:color="auto"/>
              <w:bottom w:val="nil"/>
              <w:right w:val="single" w:sz="6" w:space="0" w:color="auto"/>
            </w:tcBorders>
            <w:hideMark/>
          </w:tcPr>
          <w:p w:rsidR="00364355" w:rsidRDefault="00364355">
            <w:pPr>
              <w:spacing w:after="120"/>
              <w:ind w:left="-152" w:firstLine="242"/>
              <w:jc w:val="center"/>
              <w:rPr>
                <w:b/>
                <w:i/>
                <w:sz w:val="22"/>
              </w:rPr>
            </w:pPr>
            <w:r>
              <w:rPr>
                <w:b/>
                <w:i/>
                <w:sz w:val="22"/>
              </w:rPr>
              <w:t xml:space="preserve">Beépítettség mértéke </w:t>
            </w:r>
          </w:p>
          <w:p w:rsidR="00364355" w:rsidRDefault="00364355">
            <w:pPr>
              <w:spacing w:after="120"/>
              <w:ind w:left="-152" w:firstLine="242"/>
              <w:jc w:val="center"/>
              <w:rPr>
                <w:b/>
                <w:i/>
                <w:sz w:val="22"/>
              </w:rPr>
            </w:pPr>
            <w:r>
              <w:rPr>
                <w:b/>
                <w:i/>
                <w:sz w:val="22"/>
              </w:rPr>
              <w:t>(%)</w:t>
            </w:r>
          </w:p>
        </w:tc>
        <w:tc>
          <w:tcPr>
            <w:tcW w:w="1276" w:type="dxa"/>
            <w:tcBorders>
              <w:top w:val="double" w:sz="6" w:space="0" w:color="auto"/>
              <w:left w:val="single" w:sz="6" w:space="0" w:color="auto"/>
              <w:bottom w:val="nil"/>
              <w:right w:val="double" w:sz="6" w:space="0" w:color="auto"/>
            </w:tcBorders>
            <w:hideMark/>
          </w:tcPr>
          <w:p w:rsidR="00364355" w:rsidRDefault="00364355">
            <w:pPr>
              <w:spacing w:after="120"/>
              <w:jc w:val="center"/>
              <w:rPr>
                <w:b/>
                <w:i/>
                <w:sz w:val="22"/>
              </w:rPr>
            </w:pPr>
            <w:r>
              <w:rPr>
                <w:b/>
                <w:i/>
                <w:sz w:val="22"/>
              </w:rPr>
              <w:t>Építmény</w:t>
            </w:r>
          </w:p>
          <w:p w:rsidR="00364355" w:rsidRDefault="00364355">
            <w:pPr>
              <w:spacing w:after="120"/>
              <w:jc w:val="center"/>
              <w:rPr>
                <w:b/>
                <w:i/>
                <w:sz w:val="22"/>
              </w:rPr>
            </w:pPr>
            <w:r>
              <w:rPr>
                <w:b/>
                <w:i/>
                <w:sz w:val="22"/>
              </w:rPr>
              <w:t>Magasság (m)</w:t>
            </w:r>
          </w:p>
        </w:tc>
      </w:tr>
      <w:tr w:rsidR="00364355" w:rsidTr="00364355">
        <w:trPr>
          <w:cantSplit/>
        </w:trPr>
        <w:tc>
          <w:tcPr>
            <w:tcW w:w="851" w:type="dxa"/>
            <w:tcBorders>
              <w:top w:val="double" w:sz="6" w:space="0" w:color="auto"/>
              <w:left w:val="double" w:sz="6" w:space="0" w:color="auto"/>
              <w:bottom w:val="nil"/>
              <w:right w:val="double" w:sz="6" w:space="0" w:color="auto"/>
            </w:tcBorders>
            <w:hideMark/>
          </w:tcPr>
          <w:p w:rsidR="00364355" w:rsidRDefault="00364355">
            <w:pPr>
              <w:spacing w:after="120"/>
              <w:jc w:val="center"/>
              <w:rPr>
                <w:b/>
                <w:i/>
                <w:sz w:val="22"/>
              </w:rPr>
            </w:pPr>
            <w:r>
              <w:rPr>
                <w:b/>
                <w:i/>
                <w:sz w:val="22"/>
              </w:rPr>
              <w:t>Má-1</w:t>
            </w:r>
          </w:p>
        </w:tc>
        <w:tc>
          <w:tcPr>
            <w:tcW w:w="850" w:type="dxa"/>
            <w:tcBorders>
              <w:top w:val="double" w:sz="6" w:space="0" w:color="auto"/>
              <w:left w:val="nil"/>
              <w:bottom w:val="single" w:sz="6" w:space="0" w:color="auto"/>
              <w:right w:val="single" w:sz="6" w:space="0" w:color="auto"/>
            </w:tcBorders>
            <w:hideMark/>
          </w:tcPr>
          <w:p w:rsidR="00364355" w:rsidRDefault="00364355">
            <w:pPr>
              <w:spacing w:after="120"/>
              <w:jc w:val="center"/>
              <w:rPr>
                <w:i/>
                <w:sz w:val="22"/>
              </w:rPr>
            </w:pPr>
            <w:r>
              <w:rPr>
                <w:i/>
                <w:sz w:val="22"/>
              </w:rPr>
              <w:t>G</w:t>
            </w:r>
          </w:p>
        </w:tc>
        <w:tc>
          <w:tcPr>
            <w:tcW w:w="2268" w:type="dxa"/>
            <w:tcBorders>
              <w:top w:val="double" w:sz="6" w:space="0" w:color="auto"/>
              <w:left w:val="single" w:sz="6" w:space="0" w:color="auto"/>
              <w:bottom w:val="single" w:sz="6" w:space="0" w:color="auto"/>
              <w:right w:val="single" w:sz="6" w:space="0" w:color="auto"/>
            </w:tcBorders>
            <w:hideMark/>
          </w:tcPr>
          <w:p w:rsidR="00364355" w:rsidRDefault="00364355">
            <w:pPr>
              <w:spacing w:after="120"/>
              <w:rPr>
                <w:i/>
                <w:sz w:val="22"/>
              </w:rPr>
            </w:pPr>
            <w:r>
              <w:rPr>
                <w:i/>
                <w:sz w:val="22"/>
              </w:rPr>
              <w:t>200.000 (20ha)</w:t>
            </w:r>
          </w:p>
        </w:tc>
        <w:tc>
          <w:tcPr>
            <w:tcW w:w="1701" w:type="dxa"/>
            <w:tcBorders>
              <w:top w:val="double" w:sz="6" w:space="0" w:color="auto"/>
              <w:left w:val="single" w:sz="6" w:space="0" w:color="auto"/>
              <w:bottom w:val="single" w:sz="6" w:space="0" w:color="auto"/>
              <w:right w:val="single" w:sz="6" w:space="0" w:color="auto"/>
            </w:tcBorders>
            <w:hideMark/>
          </w:tcPr>
          <w:p w:rsidR="00364355" w:rsidRDefault="00364355">
            <w:pPr>
              <w:spacing w:after="120"/>
              <w:jc w:val="center"/>
              <w:rPr>
                <w:i/>
                <w:sz w:val="22"/>
              </w:rPr>
            </w:pPr>
            <w:r>
              <w:rPr>
                <w:i/>
                <w:sz w:val="22"/>
              </w:rPr>
              <w:t>50</w:t>
            </w:r>
          </w:p>
        </w:tc>
        <w:tc>
          <w:tcPr>
            <w:tcW w:w="1701" w:type="dxa"/>
            <w:tcBorders>
              <w:top w:val="double" w:sz="6" w:space="0" w:color="auto"/>
              <w:left w:val="single" w:sz="6" w:space="0" w:color="auto"/>
              <w:bottom w:val="single" w:sz="6" w:space="0" w:color="auto"/>
              <w:right w:val="single" w:sz="6" w:space="0" w:color="auto"/>
            </w:tcBorders>
            <w:hideMark/>
          </w:tcPr>
          <w:p w:rsidR="00364355" w:rsidRDefault="00364355">
            <w:pPr>
              <w:spacing w:after="120"/>
              <w:jc w:val="center"/>
              <w:rPr>
                <w:i/>
                <w:sz w:val="22"/>
              </w:rPr>
            </w:pPr>
            <w:r>
              <w:rPr>
                <w:i/>
                <w:sz w:val="22"/>
              </w:rPr>
              <w:t>0,1 (max 400 m</w:t>
            </w:r>
            <w:r>
              <w:rPr>
                <w:i/>
                <w:sz w:val="22"/>
                <w:vertAlign w:val="superscript"/>
              </w:rPr>
              <w:t>2</w:t>
            </w:r>
            <w:r>
              <w:rPr>
                <w:i/>
                <w:sz w:val="22"/>
              </w:rPr>
              <w:t>)</w:t>
            </w:r>
          </w:p>
        </w:tc>
        <w:tc>
          <w:tcPr>
            <w:tcW w:w="1276" w:type="dxa"/>
            <w:tcBorders>
              <w:top w:val="double" w:sz="6" w:space="0" w:color="auto"/>
              <w:left w:val="single" w:sz="6" w:space="0" w:color="auto"/>
              <w:bottom w:val="single" w:sz="6" w:space="0" w:color="auto"/>
              <w:right w:val="double" w:sz="6" w:space="0" w:color="auto"/>
            </w:tcBorders>
            <w:hideMark/>
          </w:tcPr>
          <w:p w:rsidR="00364355" w:rsidRDefault="00364355">
            <w:pPr>
              <w:spacing w:after="120"/>
              <w:jc w:val="center"/>
              <w:rPr>
                <w:i/>
                <w:sz w:val="22"/>
              </w:rPr>
            </w:pPr>
            <w:r>
              <w:rPr>
                <w:i/>
                <w:sz w:val="22"/>
              </w:rPr>
              <w:t>G: 3,5</w:t>
            </w:r>
          </w:p>
        </w:tc>
      </w:tr>
      <w:tr w:rsidR="00364355" w:rsidTr="00364355">
        <w:trPr>
          <w:cantSplit/>
        </w:trPr>
        <w:tc>
          <w:tcPr>
            <w:tcW w:w="851" w:type="dxa"/>
            <w:tcBorders>
              <w:top w:val="single" w:sz="6" w:space="0" w:color="auto"/>
              <w:left w:val="double" w:sz="6" w:space="0" w:color="auto"/>
              <w:bottom w:val="single" w:sz="4" w:space="0" w:color="auto"/>
              <w:right w:val="double" w:sz="6" w:space="0" w:color="auto"/>
            </w:tcBorders>
            <w:hideMark/>
          </w:tcPr>
          <w:p w:rsidR="00364355" w:rsidRDefault="00364355">
            <w:pPr>
              <w:spacing w:after="120"/>
              <w:jc w:val="center"/>
              <w:rPr>
                <w:b/>
                <w:i/>
                <w:sz w:val="22"/>
              </w:rPr>
            </w:pPr>
            <w:r>
              <w:rPr>
                <w:b/>
                <w:i/>
                <w:sz w:val="22"/>
              </w:rPr>
              <w:t>Má-2</w:t>
            </w:r>
          </w:p>
        </w:tc>
        <w:tc>
          <w:tcPr>
            <w:tcW w:w="850" w:type="dxa"/>
            <w:tcBorders>
              <w:top w:val="single" w:sz="6" w:space="0" w:color="auto"/>
              <w:left w:val="nil"/>
              <w:bottom w:val="single" w:sz="4" w:space="0" w:color="auto"/>
              <w:right w:val="single" w:sz="6" w:space="0" w:color="auto"/>
            </w:tcBorders>
            <w:hideMark/>
          </w:tcPr>
          <w:p w:rsidR="00364355" w:rsidRDefault="00364355">
            <w:pPr>
              <w:spacing w:after="120"/>
              <w:jc w:val="center"/>
              <w:rPr>
                <w:i/>
                <w:sz w:val="22"/>
              </w:rPr>
            </w:pPr>
            <w:r>
              <w:rPr>
                <w:i/>
                <w:sz w:val="22"/>
              </w:rPr>
              <w:t>G és T</w:t>
            </w:r>
          </w:p>
        </w:tc>
        <w:tc>
          <w:tcPr>
            <w:tcW w:w="2268" w:type="dxa"/>
            <w:tcBorders>
              <w:top w:val="single" w:sz="6" w:space="0" w:color="auto"/>
              <w:left w:val="single" w:sz="6" w:space="0" w:color="auto"/>
              <w:bottom w:val="single" w:sz="4" w:space="0" w:color="auto"/>
              <w:right w:val="single" w:sz="6" w:space="0" w:color="auto"/>
            </w:tcBorders>
            <w:hideMark/>
          </w:tcPr>
          <w:p w:rsidR="00364355" w:rsidRDefault="00364355">
            <w:pPr>
              <w:spacing w:after="120"/>
              <w:jc w:val="center"/>
              <w:rPr>
                <w:i/>
                <w:sz w:val="22"/>
              </w:rPr>
            </w:pPr>
            <w:r>
              <w:rPr>
                <w:i/>
                <w:sz w:val="22"/>
              </w:rPr>
              <w:t>100.000 (10ha) szőlő, gyümölcs, gyep műv.ág esetén</w:t>
            </w:r>
          </w:p>
        </w:tc>
        <w:tc>
          <w:tcPr>
            <w:tcW w:w="1701" w:type="dxa"/>
            <w:tcBorders>
              <w:top w:val="single" w:sz="6" w:space="0" w:color="auto"/>
              <w:left w:val="single" w:sz="6" w:space="0" w:color="auto"/>
              <w:bottom w:val="single" w:sz="4" w:space="0" w:color="auto"/>
              <w:right w:val="single" w:sz="6" w:space="0" w:color="auto"/>
            </w:tcBorders>
            <w:hideMark/>
          </w:tcPr>
          <w:p w:rsidR="00364355" w:rsidRDefault="00364355">
            <w:pPr>
              <w:spacing w:after="120"/>
              <w:jc w:val="center"/>
              <w:rPr>
                <w:i/>
                <w:sz w:val="22"/>
              </w:rPr>
            </w:pPr>
            <w:r>
              <w:rPr>
                <w:i/>
                <w:sz w:val="22"/>
              </w:rPr>
              <w:t>50</w:t>
            </w:r>
          </w:p>
        </w:tc>
        <w:tc>
          <w:tcPr>
            <w:tcW w:w="1701" w:type="dxa"/>
            <w:tcBorders>
              <w:top w:val="single" w:sz="6" w:space="0" w:color="auto"/>
              <w:left w:val="single" w:sz="6" w:space="0" w:color="auto"/>
              <w:bottom w:val="single" w:sz="4" w:space="0" w:color="auto"/>
              <w:right w:val="single" w:sz="6" w:space="0" w:color="auto"/>
            </w:tcBorders>
            <w:hideMark/>
          </w:tcPr>
          <w:p w:rsidR="00364355" w:rsidRDefault="00364355">
            <w:pPr>
              <w:spacing w:after="120"/>
              <w:ind w:left="-152" w:firstLine="242"/>
              <w:jc w:val="center"/>
              <w:rPr>
                <w:i/>
                <w:sz w:val="22"/>
              </w:rPr>
            </w:pPr>
            <w:r>
              <w:rPr>
                <w:i/>
                <w:sz w:val="22"/>
              </w:rPr>
              <w:t>0,2</w:t>
            </w:r>
          </w:p>
        </w:tc>
        <w:tc>
          <w:tcPr>
            <w:tcW w:w="1276" w:type="dxa"/>
            <w:tcBorders>
              <w:top w:val="single" w:sz="6" w:space="0" w:color="auto"/>
              <w:left w:val="single" w:sz="6" w:space="0" w:color="auto"/>
              <w:bottom w:val="single" w:sz="4" w:space="0" w:color="auto"/>
              <w:right w:val="double" w:sz="6" w:space="0" w:color="auto"/>
            </w:tcBorders>
            <w:hideMark/>
          </w:tcPr>
          <w:p w:rsidR="00364355" w:rsidRDefault="00364355">
            <w:pPr>
              <w:spacing w:after="120"/>
              <w:jc w:val="center"/>
              <w:rPr>
                <w:i/>
                <w:sz w:val="22"/>
              </w:rPr>
            </w:pPr>
            <w:r>
              <w:rPr>
                <w:i/>
                <w:sz w:val="22"/>
              </w:rPr>
              <w:t xml:space="preserve">G, L:4,5 </w:t>
            </w:r>
          </w:p>
        </w:tc>
      </w:tr>
      <w:tr w:rsidR="00364355" w:rsidTr="00364355">
        <w:trPr>
          <w:cantSplit/>
        </w:trPr>
        <w:tc>
          <w:tcPr>
            <w:tcW w:w="851" w:type="dxa"/>
            <w:tcBorders>
              <w:top w:val="single" w:sz="4" w:space="0" w:color="auto"/>
              <w:left w:val="double" w:sz="6" w:space="0" w:color="auto"/>
              <w:bottom w:val="single" w:sz="4" w:space="0" w:color="auto"/>
              <w:right w:val="double" w:sz="6" w:space="0" w:color="auto"/>
            </w:tcBorders>
            <w:hideMark/>
          </w:tcPr>
          <w:p w:rsidR="00364355" w:rsidRDefault="00364355">
            <w:pPr>
              <w:spacing w:after="120"/>
              <w:jc w:val="center"/>
              <w:rPr>
                <w:b/>
                <w:i/>
                <w:sz w:val="22"/>
              </w:rPr>
            </w:pPr>
            <w:r>
              <w:rPr>
                <w:b/>
                <w:i/>
                <w:sz w:val="22"/>
              </w:rPr>
              <w:t>Má-3</w:t>
            </w:r>
          </w:p>
        </w:tc>
        <w:tc>
          <w:tcPr>
            <w:tcW w:w="850" w:type="dxa"/>
            <w:tcBorders>
              <w:top w:val="single" w:sz="4" w:space="0" w:color="auto"/>
              <w:left w:val="nil"/>
              <w:bottom w:val="single" w:sz="4" w:space="0" w:color="auto"/>
              <w:right w:val="single" w:sz="6" w:space="0" w:color="auto"/>
            </w:tcBorders>
            <w:hideMark/>
          </w:tcPr>
          <w:p w:rsidR="00364355" w:rsidRDefault="00364355">
            <w:pPr>
              <w:spacing w:after="120"/>
              <w:jc w:val="center"/>
              <w:rPr>
                <w:i/>
                <w:sz w:val="22"/>
              </w:rPr>
            </w:pPr>
            <w:r>
              <w:rPr>
                <w:i/>
                <w:sz w:val="22"/>
              </w:rPr>
              <w:t>-</w:t>
            </w:r>
          </w:p>
        </w:tc>
        <w:tc>
          <w:tcPr>
            <w:tcW w:w="2268" w:type="dxa"/>
            <w:tcBorders>
              <w:top w:val="single" w:sz="4" w:space="0" w:color="auto"/>
              <w:left w:val="single" w:sz="6" w:space="0" w:color="auto"/>
              <w:bottom w:val="single" w:sz="4" w:space="0" w:color="auto"/>
              <w:right w:val="single" w:sz="6" w:space="0" w:color="auto"/>
            </w:tcBorders>
            <w:hideMark/>
          </w:tcPr>
          <w:p w:rsidR="00364355" w:rsidRDefault="00364355">
            <w:pPr>
              <w:spacing w:after="120"/>
              <w:jc w:val="center"/>
              <w:rPr>
                <w:i/>
                <w:sz w:val="22"/>
              </w:rPr>
            </w:pPr>
            <w:r>
              <w:rPr>
                <w:i/>
                <w:sz w:val="22"/>
              </w:rPr>
              <w:t>-</w:t>
            </w:r>
          </w:p>
        </w:tc>
        <w:tc>
          <w:tcPr>
            <w:tcW w:w="1701" w:type="dxa"/>
            <w:tcBorders>
              <w:top w:val="single" w:sz="4" w:space="0" w:color="auto"/>
              <w:left w:val="single" w:sz="6" w:space="0" w:color="auto"/>
              <w:bottom w:val="single" w:sz="4" w:space="0" w:color="auto"/>
              <w:right w:val="single" w:sz="6" w:space="0" w:color="auto"/>
            </w:tcBorders>
            <w:hideMark/>
          </w:tcPr>
          <w:p w:rsidR="00364355" w:rsidRDefault="00364355">
            <w:pPr>
              <w:spacing w:after="120"/>
              <w:jc w:val="center"/>
              <w:rPr>
                <w:i/>
                <w:sz w:val="22"/>
              </w:rPr>
            </w:pPr>
            <w:r>
              <w:rPr>
                <w:i/>
                <w:sz w:val="22"/>
              </w:rPr>
              <w:t>-</w:t>
            </w:r>
          </w:p>
        </w:tc>
        <w:tc>
          <w:tcPr>
            <w:tcW w:w="1701" w:type="dxa"/>
            <w:tcBorders>
              <w:top w:val="single" w:sz="4" w:space="0" w:color="auto"/>
              <w:left w:val="single" w:sz="6" w:space="0" w:color="auto"/>
              <w:bottom w:val="single" w:sz="4" w:space="0" w:color="auto"/>
              <w:right w:val="single" w:sz="6" w:space="0" w:color="auto"/>
            </w:tcBorders>
            <w:hideMark/>
          </w:tcPr>
          <w:p w:rsidR="00364355" w:rsidRDefault="00364355">
            <w:pPr>
              <w:spacing w:after="120"/>
              <w:ind w:left="-152" w:firstLine="242"/>
              <w:jc w:val="center"/>
              <w:rPr>
                <w:i/>
                <w:sz w:val="22"/>
              </w:rPr>
            </w:pPr>
            <w:r>
              <w:rPr>
                <w:i/>
                <w:sz w:val="22"/>
              </w:rPr>
              <w:t>-</w:t>
            </w:r>
          </w:p>
        </w:tc>
        <w:tc>
          <w:tcPr>
            <w:tcW w:w="1276" w:type="dxa"/>
            <w:tcBorders>
              <w:top w:val="single" w:sz="4" w:space="0" w:color="auto"/>
              <w:left w:val="single" w:sz="6" w:space="0" w:color="auto"/>
              <w:bottom w:val="single" w:sz="4" w:space="0" w:color="auto"/>
              <w:right w:val="double" w:sz="6" w:space="0" w:color="auto"/>
            </w:tcBorders>
            <w:hideMark/>
          </w:tcPr>
          <w:p w:rsidR="00364355" w:rsidRDefault="00364355">
            <w:pPr>
              <w:spacing w:after="120"/>
              <w:jc w:val="center"/>
              <w:rPr>
                <w:i/>
                <w:sz w:val="22"/>
              </w:rPr>
            </w:pPr>
            <w:r>
              <w:rPr>
                <w:i/>
                <w:sz w:val="22"/>
              </w:rPr>
              <w:t>-</w:t>
            </w:r>
          </w:p>
        </w:tc>
      </w:tr>
      <w:tr w:rsidR="00364355" w:rsidTr="00364355">
        <w:trPr>
          <w:cantSplit/>
        </w:trPr>
        <w:tc>
          <w:tcPr>
            <w:tcW w:w="851" w:type="dxa"/>
            <w:tcBorders>
              <w:top w:val="single" w:sz="4" w:space="0" w:color="auto"/>
              <w:left w:val="double" w:sz="6" w:space="0" w:color="auto"/>
              <w:bottom w:val="double" w:sz="6" w:space="0" w:color="auto"/>
              <w:right w:val="double" w:sz="6" w:space="0" w:color="auto"/>
            </w:tcBorders>
            <w:hideMark/>
          </w:tcPr>
          <w:p w:rsidR="00364355" w:rsidRDefault="00364355">
            <w:pPr>
              <w:spacing w:after="120"/>
              <w:jc w:val="center"/>
              <w:rPr>
                <w:b/>
                <w:i/>
                <w:sz w:val="22"/>
              </w:rPr>
            </w:pPr>
            <w:r>
              <w:rPr>
                <w:b/>
                <w:i/>
                <w:sz w:val="22"/>
              </w:rPr>
              <w:t>Má-4</w:t>
            </w:r>
          </w:p>
        </w:tc>
        <w:tc>
          <w:tcPr>
            <w:tcW w:w="850" w:type="dxa"/>
            <w:tcBorders>
              <w:top w:val="single" w:sz="4" w:space="0" w:color="auto"/>
              <w:left w:val="nil"/>
              <w:bottom w:val="double" w:sz="6" w:space="0" w:color="auto"/>
              <w:right w:val="single" w:sz="6" w:space="0" w:color="auto"/>
            </w:tcBorders>
            <w:hideMark/>
          </w:tcPr>
          <w:p w:rsidR="00364355" w:rsidRDefault="00364355">
            <w:pPr>
              <w:spacing w:after="120"/>
              <w:jc w:val="center"/>
              <w:rPr>
                <w:i/>
                <w:sz w:val="22"/>
              </w:rPr>
            </w:pPr>
            <w:r>
              <w:rPr>
                <w:i/>
                <w:sz w:val="22"/>
              </w:rPr>
              <w:t xml:space="preserve">G, T </w:t>
            </w:r>
          </w:p>
        </w:tc>
        <w:tc>
          <w:tcPr>
            <w:tcW w:w="2268" w:type="dxa"/>
            <w:tcBorders>
              <w:top w:val="single" w:sz="4" w:space="0" w:color="auto"/>
              <w:left w:val="single" w:sz="6" w:space="0" w:color="auto"/>
              <w:bottom w:val="double" w:sz="6" w:space="0" w:color="auto"/>
              <w:right w:val="single" w:sz="6" w:space="0" w:color="auto"/>
            </w:tcBorders>
            <w:hideMark/>
          </w:tcPr>
          <w:p w:rsidR="00364355" w:rsidRDefault="00364355">
            <w:pPr>
              <w:spacing w:after="120"/>
              <w:jc w:val="center"/>
              <w:rPr>
                <w:i/>
                <w:sz w:val="22"/>
              </w:rPr>
            </w:pPr>
            <w:r>
              <w:rPr>
                <w:i/>
                <w:sz w:val="22"/>
              </w:rPr>
              <w:t>100 000 (10ha)</w:t>
            </w:r>
          </w:p>
        </w:tc>
        <w:tc>
          <w:tcPr>
            <w:tcW w:w="1701" w:type="dxa"/>
            <w:tcBorders>
              <w:top w:val="single" w:sz="4" w:space="0" w:color="auto"/>
              <w:left w:val="single" w:sz="6" w:space="0" w:color="auto"/>
              <w:bottom w:val="double" w:sz="6" w:space="0" w:color="auto"/>
              <w:right w:val="single" w:sz="6" w:space="0" w:color="auto"/>
            </w:tcBorders>
            <w:hideMark/>
          </w:tcPr>
          <w:p w:rsidR="00364355" w:rsidRDefault="00364355">
            <w:pPr>
              <w:spacing w:after="120"/>
              <w:jc w:val="center"/>
              <w:rPr>
                <w:i/>
                <w:sz w:val="22"/>
              </w:rPr>
            </w:pPr>
            <w:r>
              <w:rPr>
                <w:i/>
                <w:sz w:val="22"/>
              </w:rPr>
              <w:t>50</w:t>
            </w:r>
          </w:p>
        </w:tc>
        <w:tc>
          <w:tcPr>
            <w:tcW w:w="1701" w:type="dxa"/>
            <w:tcBorders>
              <w:top w:val="single" w:sz="4" w:space="0" w:color="auto"/>
              <w:left w:val="single" w:sz="6" w:space="0" w:color="auto"/>
              <w:bottom w:val="double" w:sz="6" w:space="0" w:color="auto"/>
              <w:right w:val="single" w:sz="6" w:space="0" w:color="auto"/>
            </w:tcBorders>
            <w:hideMark/>
          </w:tcPr>
          <w:p w:rsidR="00364355" w:rsidRDefault="00364355">
            <w:pPr>
              <w:spacing w:after="120"/>
              <w:ind w:left="-152" w:firstLine="242"/>
              <w:jc w:val="center"/>
              <w:rPr>
                <w:i/>
                <w:sz w:val="22"/>
              </w:rPr>
            </w:pPr>
            <w:r>
              <w:rPr>
                <w:i/>
                <w:sz w:val="22"/>
              </w:rPr>
              <w:t>0,5</w:t>
            </w:r>
          </w:p>
        </w:tc>
        <w:tc>
          <w:tcPr>
            <w:tcW w:w="1276" w:type="dxa"/>
            <w:tcBorders>
              <w:top w:val="single" w:sz="4" w:space="0" w:color="auto"/>
              <w:left w:val="single" w:sz="6" w:space="0" w:color="auto"/>
              <w:bottom w:val="double" w:sz="6" w:space="0" w:color="auto"/>
              <w:right w:val="double" w:sz="6" w:space="0" w:color="auto"/>
            </w:tcBorders>
            <w:hideMark/>
          </w:tcPr>
          <w:p w:rsidR="00364355" w:rsidRDefault="00364355">
            <w:pPr>
              <w:spacing w:after="120"/>
              <w:jc w:val="center"/>
              <w:rPr>
                <w:i/>
                <w:sz w:val="22"/>
              </w:rPr>
            </w:pPr>
            <w:r>
              <w:rPr>
                <w:i/>
                <w:sz w:val="22"/>
              </w:rPr>
              <w:t>5,0</w:t>
            </w:r>
          </w:p>
        </w:tc>
      </w:tr>
    </w:tbl>
    <w:p w:rsidR="00364355" w:rsidRDefault="00364355" w:rsidP="00364355">
      <w:pPr>
        <w:autoSpaceDE w:val="0"/>
        <w:autoSpaceDN w:val="0"/>
        <w:jc w:val="both"/>
        <w:rPr>
          <w:i/>
          <w:color w:val="000000"/>
          <w:szCs w:val="20"/>
        </w:rPr>
      </w:pPr>
      <w:r>
        <w:rPr>
          <w:i/>
          <w:szCs w:val="20"/>
        </w:rPr>
        <w:t xml:space="preserve"> G: gazdasági épület: a növénytermesztés és az állattenyésztés, továbbá az ezekkel</w:t>
      </w:r>
      <w:r>
        <w:rPr>
          <w:i/>
          <w:color w:val="000000"/>
          <w:szCs w:val="20"/>
        </w:rPr>
        <w:t xml:space="preserve"> kapcsolatos terményfeldolgozás és tárolás épületei, építményei</w:t>
      </w:r>
    </w:p>
    <w:p w:rsidR="00364355" w:rsidRDefault="00364355" w:rsidP="00364355">
      <w:pPr>
        <w:jc w:val="both"/>
        <w:rPr>
          <w:i/>
          <w:color w:val="000000"/>
        </w:rPr>
      </w:pPr>
      <w:r>
        <w:rPr>
          <w:i/>
          <w:color w:val="000000"/>
        </w:rPr>
        <w:t xml:space="preserve"> T: tanyagazdaság lakóépülettel: lakóépületet is magába foglaló egyéni gazdaság területe</w:t>
      </w:r>
    </w:p>
    <w:p w:rsidR="00364355" w:rsidRDefault="00364355" w:rsidP="00364355">
      <w:pPr>
        <w:jc w:val="both"/>
        <w:rPr>
          <w:i/>
          <w:color w:val="000000"/>
        </w:rPr>
      </w:pPr>
      <w:r>
        <w:rPr>
          <w:i/>
          <w:color w:val="000000"/>
        </w:rPr>
        <w:t xml:space="preserve"> L: tanyagazdaság lakóépülete</w:t>
      </w:r>
    </w:p>
    <w:p w:rsidR="00364355" w:rsidRDefault="00364355" w:rsidP="00364355">
      <w:pPr>
        <w:jc w:val="both"/>
        <w:rPr>
          <w:i/>
          <w:color w:val="000000"/>
        </w:rPr>
      </w:pPr>
      <w:r>
        <w:rPr>
          <w:i/>
          <w:color w:val="000000"/>
        </w:rPr>
        <w:t>K: kialakult állapot, a telkek tovább nem oszthatók</w:t>
      </w:r>
    </w:p>
    <w:p w:rsidR="00364355" w:rsidRDefault="00364355" w:rsidP="00364355">
      <w:pPr>
        <w:ind w:left="360"/>
        <w:rPr>
          <w:rFonts w:ascii="Times" w:hAnsi="Times" w:cs="Times"/>
        </w:rPr>
      </w:pPr>
    </w:p>
    <w:p w:rsidR="00364355" w:rsidRDefault="00364355" w:rsidP="00364355">
      <w:pPr>
        <w:ind w:firstLine="360"/>
      </w:pPr>
      <w:r>
        <w:t>(8) A R. 23.§ (6) bekezdés helyébe a következő rendelkezés lép:</w:t>
      </w:r>
    </w:p>
    <w:p w:rsidR="00364355" w:rsidRDefault="00364355" w:rsidP="00364355">
      <w:pPr>
        <w:tabs>
          <w:tab w:val="left" w:pos="1571"/>
        </w:tabs>
        <w:spacing w:before="120"/>
        <w:ind w:firstLine="851"/>
        <w:jc w:val="both"/>
        <w:rPr>
          <w:i/>
        </w:rPr>
      </w:pPr>
      <w:r>
        <w:rPr>
          <w:i/>
        </w:rPr>
        <w:t>(6)  Az épületek rövid oldali maximális szélessége 16 m lehet.</w:t>
      </w:r>
    </w:p>
    <w:p w:rsidR="00364355" w:rsidRDefault="00364355" w:rsidP="00364355">
      <w:pPr>
        <w:ind w:left="480"/>
        <w:rPr>
          <w:rFonts w:ascii="Times" w:hAnsi="Times" w:cs="Times"/>
          <w:b/>
          <w:i/>
        </w:rPr>
      </w:pPr>
    </w:p>
    <w:p w:rsidR="00364355" w:rsidRDefault="00364355" w:rsidP="00364355">
      <w:pPr>
        <w:ind w:firstLine="360"/>
      </w:pPr>
      <w:r>
        <w:t>(9) A R. 23.§ (8) bekezdés helyébe a következő rendelkezés lép:</w:t>
      </w:r>
    </w:p>
    <w:p w:rsidR="00364355" w:rsidRDefault="00364355" w:rsidP="00364355">
      <w:pPr>
        <w:tabs>
          <w:tab w:val="left" w:pos="851"/>
        </w:tabs>
        <w:ind w:left="851"/>
        <w:jc w:val="both"/>
        <w:rPr>
          <w:i/>
        </w:rPr>
      </w:pPr>
      <w:r>
        <w:rPr>
          <w:i/>
        </w:rPr>
        <w:t>(8) Kerítés kizárólag élősövény vagy legfeljebb 1,8 m magas, vadvédelmi célú kerítés lehet. A közutak és közforgalom elől el nem zárt magánutak tengelyétől számított 3 m-en belül kerítés építése tilos.</w:t>
      </w:r>
    </w:p>
    <w:p w:rsidR="00364355" w:rsidRDefault="00364355" w:rsidP="00364355">
      <w:pPr>
        <w:tabs>
          <w:tab w:val="left" w:pos="1571"/>
        </w:tabs>
        <w:spacing w:before="120"/>
        <w:ind w:left="851"/>
        <w:jc w:val="both"/>
        <w:rPr>
          <w:i/>
        </w:rPr>
      </w:pPr>
    </w:p>
    <w:p w:rsidR="00364355" w:rsidRDefault="00364355" w:rsidP="00364355">
      <w:pPr>
        <w:ind w:firstLine="360"/>
      </w:pPr>
      <w:r>
        <w:t>(10) A R. egy új 26/A §-al egészül ki:</w:t>
      </w:r>
    </w:p>
    <w:p w:rsidR="00364355" w:rsidRDefault="00364355" w:rsidP="00364355">
      <w:pPr>
        <w:keepNext/>
        <w:widowControl w:val="0"/>
        <w:spacing w:before="240" w:after="60"/>
        <w:jc w:val="center"/>
        <w:outlineLvl w:val="2"/>
        <w:rPr>
          <w:b/>
          <w:i/>
          <w:sz w:val="28"/>
          <w:szCs w:val="20"/>
        </w:rPr>
      </w:pPr>
      <w:r>
        <w:rPr>
          <w:b/>
          <w:i/>
          <w:sz w:val="28"/>
          <w:szCs w:val="20"/>
        </w:rPr>
        <w:t>Ökológiai gazdálkodás és bemutatás övezete (Má-4)</w:t>
      </w:r>
    </w:p>
    <w:p w:rsidR="00364355" w:rsidRDefault="00364355" w:rsidP="00364355">
      <w:pPr>
        <w:autoSpaceDE w:val="0"/>
        <w:autoSpaceDN w:val="0"/>
        <w:jc w:val="center"/>
        <w:rPr>
          <w:b/>
          <w:i/>
          <w:szCs w:val="20"/>
        </w:rPr>
      </w:pPr>
      <w:r>
        <w:rPr>
          <w:b/>
          <w:i/>
          <w:szCs w:val="20"/>
        </w:rPr>
        <w:t>26/A.§.</w:t>
      </w:r>
    </w:p>
    <w:p w:rsidR="00364355" w:rsidRDefault="00364355" w:rsidP="00364355">
      <w:pPr>
        <w:tabs>
          <w:tab w:val="left" w:pos="-993"/>
        </w:tabs>
        <w:spacing w:before="120"/>
        <w:ind w:left="1134"/>
        <w:rPr>
          <w:i/>
          <w:szCs w:val="20"/>
        </w:rPr>
      </w:pPr>
      <w:r>
        <w:rPr>
          <w:i/>
          <w:szCs w:val="20"/>
        </w:rPr>
        <w:t>(1)    Az ökológiai gazdálkodás és bemutatás övezetében a gazdálkodást bemutató és az oktatást szolgáló, valamint az állattartást és növénytermesztést szolgáló építmények helyezhetők el, valamint a terület ellátását szolgáló személyzet lakóépülete a szabályozási tervlapon jelölt építési helyen belül.</w:t>
      </w:r>
    </w:p>
    <w:p w:rsidR="00364355" w:rsidRDefault="00364355" w:rsidP="00364355">
      <w:pPr>
        <w:tabs>
          <w:tab w:val="left" w:pos="-993"/>
        </w:tabs>
        <w:spacing w:before="120"/>
        <w:ind w:left="1134"/>
        <w:jc w:val="both"/>
        <w:rPr>
          <w:i/>
        </w:rPr>
      </w:pPr>
      <w:r>
        <w:rPr>
          <w:i/>
        </w:rPr>
        <w:t>(2)   Az övezetben a tanyagazdasági is kialakítható.</w:t>
      </w:r>
    </w:p>
    <w:p w:rsidR="00364355" w:rsidRDefault="00364355" w:rsidP="00364355">
      <w:pPr>
        <w:tabs>
          <w:tab w:val="left" w:pos="-993"/>
        </w:tabs>
        <w:spacing w:before="120"/>
        <w:ind w:left="1134"/>
        <w:jc w:val="both"/>
        <w:rPr>
          <w:i/>
        </w:rPr>
      </w:pPr>
      <w:r>
        <w:rPr>
          <w:i/>
        </w:rPr>
        <w:t>Tanyagazdaság épületei, építményei és a hozzájuk tartozó udvar, szérűskert számára a telken belül területet kell elkülöníteni (tanyaudvar), amely nagysága nem haladhatja meg a 2000 m</w:t>
      </w:r>
      <w:r>
        <w:rPr>
          <w:i/>
          <w:vertAlign w:val="superscript"/>
        </w:rPr>
        <w:t>2</w:t>
      </w:r>
      <w:r>
        <w:rPr>
          <w:i/>
        </w:rPr>
        <w:t>-t.</w:t>
      </w:r>
    </w:p>
    <w:p w:rsidR="00364355" w:rsidRDefault="00364355" w:rsidP="00364355">
      <w:pPr>
        <w:spacing w:before="120" w:line="280" w:lineRule="atLeast"/>
        <w:ind w:left="1134"/>
        <w:jc w:val="both"/>
        <w:rPr>
          <w:i/>
        </w:rPr>
      </w:pPr>
      <w:r>
        <w:rPr>
          <w:i/>
        </w:rPr>
        <w:t xml:space="preserve">(3) </w:t>
      </w:r>
      <w:r>
        <w:rPr>
          <w:b/>
          <w:i/>
        </w:rPr>
        <w:t xml:space="preserve"> </w:t>
      </w:r>
      <w:r>
        <w:rPr>
          <w:i/>
        </w:rPr>
        <w:t>Az Má-4 övezetben csak a terület szakmailag igazolt eltartóképességének megfelelő számú számosállat tartható.</w:t>
      </w:r>
    </w:p>
    <w:p w:rsidR="00364355" w:rsidRDefault="00364355" w:rsidP="00364355">
      <w:pPr>
        <w:ind w:firstLine="360"/>
        <w:rPr>
          <w:color w:val="FF0000"/>
        </w:rPr>
      </w:pPr>
    </w:p>
    <w:p w:rsidR="00364355" w:rsidRDefault="00364355" w:rsidP="00364355">
      <w:pPr>
        <w:ind w:left="360" w:hanging="360"/>
        <w:jc w:val="both"/>
      </w:pPr>
      <w:r>
        <w:t>2.§ A R. mellékletét képező SZA-1 és SZA-2, valamint KSZA jelű szabályozási tervlapok normatartalma helyébe e rendelet 1.sz. mellékletében az m-SZAB és m-KSZA jelű szabályozási tervlapokon lehatárolt telektömbök normatartalma lép.</w:t>
      </w:r>
    </w:p>
    <w:p w:rsidR="00364355" w:rsidRDefault="00364355" w:rsidP="00364355">
      <w:pPr>
        <w:jc w:val="both"/>
      </w:pPr>
    </w:p>
    <w:p w:rsidR="00364355" w:rsidRDefault="00364355" w:rsidP="00364355">
      <w:pPr>
        <w:jc w:val="both"/>
      </w:pPr>
    </w:p>
    <w:p w:rsidR="00364355" w:rsidRDefault="00364355" w:rsidP="00364355">
      <w:pPr>
        <w:autoSpaceDE w:val="0"/>
        <w:autoSpaceDN w:val="0"/>
        <w:adjustRightInd w:val="0"/>
        <w:ind w:left="360" w:hanging="360"/>
        <w:jc w:val="both"/>
      </w:pPr>
      <w:r>
        <w:t>3.§ (1) A R. 26.§ (1) bekezdése törlésre kerül.</w:t>
      </w:r>
    </w:p>
    <w:p w:rsidR="00364355" w:rsidRDefault="00364355" w:rsidP="00364355">
      <w:pPr>
        <w:autoSpaceDE w:val="0"/>
        <w:autoSpaceDN w:val="0"/>
        <w:adjustRightInd w:val="0"/>
        <w:ind w:left="360" w:hanging="360"/>
        <w:jc w:val="both"/>
      </w:pPr>
    </w:p>
    <w:p w:rsidR="00364355" w:rsidRDefault="00364355" w:rsidP="00364355">
      <w:pPr>
        <w:autoSpaceDE w:val="0"/>
        <w:autoSpaceDN w:val="0"/>
        <w:adjustRightInd w:val="0"/>
        <w:ind w:left="360" w:hanging="76"/>
        <w:jc w:val="both"/>
      </w:pPr>
      <w:r>
        <w:t xml:space="preserve"> (2) E rendelet kihirdetését követő 30. napon lép hatályba. </w:t>
      </w:r>
    </w:p>
    <w:p w:rsidR="00364355" w:rsidRDefault="00364355" w:rsidP="00364355">
      <w:pPr>
        <w:widowControl w:val="0"/>
        <w:spacing w:before="120"/>
        <w:jc w:val="both"/>
        <w:rPr>
          <w:snapToGrid w:val="0"/>
        </w:rPr>
      </w:pPr>
    </w:p>
    <w:p w:rsidR="00364355" w:rsidRDefault="00364355" w:rsidP="00364355">
      <w:pPr>
        <w:widowControl w:val="0"/>
        <w:spacing w:before="120"/>
        <w:jc w:val="both"/>
        <w:rPr>
          <w:snapToGrid w:val="0"/>
          <w:color w:val="FF0000"/>
        </w:rPr>
      </w:pPr>
    </w:p>
    <w:p w:rsidR="00364355" w:rsidRDefault="00364355" w:rsidP="00364355">
      <w:pPr>
        <w:ind w:left="1416"/>
      </w:pPr>
      <w:r>
        <w:t xml:space="preserve">         Fábry Szabolcs János </w:t>
      </w:r>
      <w:r>
        <w:tab/>
      </w:r>
      <w:r>
        <w:tab/>
      </w:r>
      <w:r>
        <w:tab/>
        <w:t>Weller-Jakus Tamás</w:t>
      </w:r>
    </w:p>
    <w:p w:rsidR="00364355" w:rsidRDefault="00364355" w:rsidP="00364355">
      <w:r>
        <w:tab/>
      </w:r>
      <w:r>
        <w:tab/>
      </w:r>
      <w:r>
        <w:tab/>
        <w:t>polgármester</w:t>
      </w:r>
      <w:r>
        <w:tab/>
      </w:r>
      <w:r>
        <w:tab/>
      </w:r>
      <w:r>
        <w:tab/>
      </w:r>
      <w:r>
        <w:tab/>
      </w:r>
      <w:r>
        <w:tab/>
        <w:t>jegyző</w:t>
      </w:r>
    </w:p>
    <w:p w:rsidR="00364355" w:rsidRDefault="00364355" w:rsidP="00364355">
      <w:pPr>
        <w:autoSpaceDE w:val="0"/>
        <w:autoSpaceDN w:val="0"/>
        <w:adjustRightInd w:val="0"/>
      </w:pPr>
    </w:p>
    <w:p w:rsidR="00364355" w:rsidRDefault="00364355" w:rsidP="00364355">
      <w:pPr>
        <w:autoSpaceDE w:val="0"/>
        <w:autoSpaceDN w:val="0"/>
        <w:adjustRightInd w:val="0"/>
      </w:pPr>
    </w:p>
    <w:p w:rsidR="00364355" w:rsidRDefault="00364355" w:rsidP="00364355">
      <w:pPr>
        <w:autoSpaceDE w:val="0"/>
        <w:autoSpaceDN w:val="0"/>
        <w:adjustRightInd w:val="0"/>
      </w:pPr>
      <w:r>
        <w:t>A rendelet elfogadásának napja:</w:t>
      </w:r>
    </w:p>
    <w:p w:rsidR="00364355" w:rsidRDefault="00364355" w:rsidP="00364355">
      <w:pPr>
        <w:autoSpaceDE w:val="0"/>
        <w:autoSpaceDN w:val="0"/>
        <w:adjustRightInd w:val="0"/>
      </w:pPr>
    </w:p>
    <w:p w:rsidR="00364355" w:rsidRDefault="00364355" w:rsidP="00364355">
      <w:pPr>
        <w:autoSpaceDE w:val="0"/>
        <w:autoSpaceDN w:val="0"/>
        <w:adjustRightInd w:val="0"/>
      </w:pPr>
      <w:r>
        <w:t xml:space="preserve">A rendelet kihirdetésének napja: </w:t>
      </w:r>
    </w:p>
    <w:p w:rsidR="00364355" w:rsidRDefault="00364355" w:rsidP="00364355">
      <w:pPr>
        <w:autoSpaceDE w:val="0"/>
        <w:autoSpaceDN w:val="0"/>
        <w:adjustRightInd w:val="0"/>
      </w:pPr>
    </w:p>
    <w:p w:rsidR="00364355" w:rsidRDefault="00364355" w:rsidP="00364355">
      <w:pPr>
        <w:autoSpaceDE w:val="0"/>
        <w:autoSpaceDN w:val="0"/>
        <w:adjustRightInd w:val="0"/>
      </w:pPr>
    </w:p>
    <w:p w:rsidR="00364355" w:rsidRDefault="00364355" w:rsidP="00364355">
      <w:pPr>
        <w:autoSpaceDE w:val="0"/>
        <w:autoSpaceDN w:val="0"/>
        <w:adjustRightInd w:val="0"/>
      </w:pPr>
      <w:r>
        <w:t>Nagyvázsony, 2017. szeptember ……….</w:t>
      </w:r>
    </w:p>
    <w:p w:rsidR="00364355" w:rsidRDefault="00364355" w:rsidP="00364355">
      <w:pPr>
        <w:autoSpaceDE w:val="0"/>
        <w:autoSpaceDN w:val="0"/>
        <w:adjustRightInd w:val="0"/>
      </w:pPr>
    </w:p>
    <w:p w:rsidR="00364355" w:rsidRDefault="00364355" w:rsidP="00364355">
      <w:pPr>
        <w:autoSpaceDE w:val="0"/>
        <w:autoSpaceDN w:val="0"/>
        <w:adjustRightInd w:val="0"/>
      </w:pPr>
      <w:r>
        <w:t>Weller-Jakus Tamás</w:t>
      </w:r>
    </w:p>
    <w:p w:rsidR="00364355" w:rsidRDefault="00364355" w:rsidP="00364355">
      <w:pPr>
        <w:autoSpaceDE w:val="0"/>
        <w:autoSpaceDN w:val="0"/>
        <w:adjustRightInd w:val="0"/>
      </w:pPr>
      <w:r>
        <w:t xml:space="preserve">jegyző </w:t>
      </w:r>
    </w:p>
    <w:p w:rsidR="00364355" w:rsidRDefault="00364355" w:rsidP="00364355">
      <w:pPr>
        <w:autoSpaceDE w:val="0"/>
        <w:autoSpaceDN w:val="0"/>
        <w:adjustRightInd w:val="0"/>
      </w:pPr>
      <w:r>
        <w:br w:type="page"/>
      </w:r>
    </w:p>
    <w:p w:rsidR="003D5925" w:rsidRDefault="003D5925">
      <w:bookmarkStart w:id="0" w:name="_GoBack"/>
      <w:bookmarkEnd w:id="0"/>
    </w:p>
    <w:sectPr w:rsidR="003D5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AD" w:rsidRDefault="006B1FAD" w:rsidP="00364355">
      <w:r>
        <w:separator/>
      </w:r>
    </w:p>
  </w:endnote>
  <w:endnote w:type="continuationSeparator" w:id="0">
    <w:p w:rsidR="006B1FAD" w:rsidRDefault="006B1FAD" w:rsidP="0036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AD" w:rsidRDefault="006B1FAD" w:rsidP="00364355">
      <w:r>
        <w:separator/>
      </w:r>
    </w:p>
  </w:footnote>
  <w:footnote w:type="continuationSeparator" w:id="0">
    <w:p w:rsidR="006B1FAD" w:rsidRDefault="006B1FAD" w:rsidP="00364355">
      <w:r>
        <w:continuationSeparator/>
      </w:r>
    </w:p>
  </w:footnote>
  <w:footnote w:id="1">
    <w:p w:rsidR="00364355" w:rsidRDefault="00364355" w:rsidP="00364355">
      <w:pPr>
        <w:pStyle w:val="Lbjegyzetszveg"/>
        <w:rPr>
          <w:strike/>
        </w:rPr>
      </w:pPr>
      <w:r>
        <w:rPr>
          <w:rStyle w:val="Lbjegyzet-hivatkozs"/>
        </w:rPr>
        <w:footnoteRef/>
      </w:r>
      <w:r>
        <w:t xml:space="preserve"> </w:t>
      </w:r>
      <w:r>
        <w:rPr>
          <w:i/>
        </w:rPr>
        <w:t xml:space="preserve">módosítás az OTÉK 2012. augusztus 6-án hatályos településrendezési tartalmi követelményeinek és jelmagyarázatának megfelelően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55"/>
    <w:rsid w:val="00364355"/>
    <w:rsid w:val="003D5925"/>
    <w:rsid w:val="006B1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556B6-4632-45ED-84CC-214515E5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435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364355"/>
    <w:pPr>
      <w:keepNext/>
      <w:jc w:val="center"/>
      <w:outlineLvl w:val="1"/>
    </w:pPr>
    <w:rPr>
      <w:b/>
      <w:bCs/>
      <w:i/>
      <w:iCs/>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364355"/>
    <w:rPr>
      <w:rFonts w:ascii="Times New Roman" w:eastAsia="Times New Roman" w:hAnsi="Times New Roman" w:cs="Times New Roman"/>
      <w:b/>
      <w:bCs/>
      <w:i/>
      <w:iCs/>
      <w:sz w:val="40"/>
      <w:szCs w:val="24"/>
      <w:lang w:eastAsia="hu-HU"/>
    </w:rPr>
  </w:style>
  <w:style w:type="paragraph" w:styleId="NormlWeb">
    <w:name w:val="Normal (Web)"/>
    <w:basedOn w:val="Norml"/>
    <w:semiHidden/>
    <w:unhideWhenUsed/>
    <w:rsid w:val="00364355"/>
    <w:pPr>
      <w:spacing w:before="100" w:beforeAutospacing="1" w:after="100" w:afterAutospacing="1"/>
    </w:pPr>
  </w:style>
  <w:style w:type="character" w:customStyle="1" w:styleId="LbjegyzetszvegChar">
    <w:name w:val="Lábjegyzetszöveg Char"/>
    <w:aliases w:val="Footnote Char1,Char1 Char1,Char1 Char Char Char Char1,Char1 Char Char Char Char Char Char,Char1 Char Char Char Char Char1,Footnote Char Char,Char1 Char Char"/>
    <w:basedOn w:val="Bekezdsalapbettpusa"/>
    <w:link w:val="Lbjegyzetszveg"/>
    <w:semiHidden/>
    <w:locked/>
    <w:rsid w:val="00364355"/>
  </w:style>
  <w:style w:type="paragraph" w:styleId="Lbjegyzetszveg">
    <w:name w:val="footnote text"/>
    <w:aliases w:val="Footnote,Char1,Char1 Char Char Char,Char1 Char Char Char Char Char,Char1 Char Char Char Char,Footnote Char,Char1 Char"/>
    <w:basedOn w:val="Norml"/>
    <w:link w:val="LbjegyzetszvegChar"/>
    <w:semiHidden/>
    <w:unhideWhenUsed/>
    <w:rsid w:val="00364355"/>
    <w:pPr>
      <w:jc w:val="both"/>
    </w:pPr>
    <w:rPr>
      <w:rFonts w:asciiTheme="minorHAnsi" w:eastAsiaTheme="minorHAnsi" w:hAnsiTheme="minorHAnsi" w:cstheme="minorBidi"/>
      <w:sz w:val="22"/>
      <w:szCs w:val="22"/>
      <w:lang w:eastAsia="en-US"/>
    </w:rPr>
  </w:style>
  <w:style w:type="character" w:customStyle="1" w:styleId="LbjegyzetszvegChar1">
    <w:name w:val="Lábjegyzetszöveg Char1"/>
    <w:basedOn w:val="Bekezdsalapbettpusa"/>
    <w:uiPriority w:val="99"/>
    <w:semiHidden/>
    <w:rsid w:val="00364355"/>
    <w:rPr>
      <w:rFonts w:ascii="Times New Roman" w:eastAsia="Times New Roman" w:hAnsi="Times New Roman" w:cs="Times New Roman"/>
      <w:sz w:val="20"/>
      <w:szCs w:val="20"/>
      <w:lang w:eastAsia="hu-HU"/>
    </w:rPr>
  </w:style>
  <w:style w:type="paragraph" w:styleId="Cm">
    <w:name w:val="Title"/>
    <w:basedOn w:val="Norml"/>
    <w:link w:val="CmChar"/>
    <w:qFormat/>
    <w:rsid w:val="00364355"/>
    <w:pPr>
      <w:jc w:val="center"/>
    </w:pPr>
    <w:rPr>
      <w:b/>
      <w:bCs/>
      <w:sz w:val="48"/>
    </w:rPr>
  </w:style>
  <w:style w:type="character" w:customStyle="1" w:styleId="CmChar">
    <w:name w:val="Cím Char"/>
    <w:basedOn w:val="Bekezdsalapbettpusa"/>
    <w:link w:val="Cm"/>
    <w:rsid w:val="00364355"/>
    <w:rPr>
      <w:rFonts w:ascii="Times New Roman" w:eastAsia="Times New Roman" w:hAnsi="Times New Roman" w:cs="Times New Roman"/>
      <w:b/>
      <w:bCs/>
      <w:sz w:val="48"/>
      <w:szCs w:val="24"/>
      <w:lang w:eastAsia="hu-HU"/>
    </w:rPr>
  </w:style>
  <w:style w:type="character" w:styleId="Lbjegyzet-hivatkozs">
    <w:name w:val="footnote reference"/>
    <w:semiHidden/>
    <w:unhideWhenUsed/>
    <w:rsid w:val="00364355"/>
    <w:rPr>
      <w:vertAlign w:val="superscript"/>
    </w:rPr>
  </w:style>
  <w:style w:type="character" w:styleId="Kiemels">
    <w:name w:val="Emphasis"/>
    <w:basedOn w:val="Bekezdsalapbettpusa"/>
    <w:qFormat/>
    <w:rsid w:val="00364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5676</Characters>
  <Application>Microsoft Office Word</Application>
  <DocSecurity>0</DocSecurity>
  <Lines>47</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2017-11-23T09:41:00Z</dcterms:created>
  <dcterms:modified xsi:type="dcterms:W3CDTF">2017-11-23T09:41:00Z</dcterms:modified>
</cp:coreProperties>
</file>